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/>
        <w:tblPrEx/>
        <w:tc>
          <w:tcPr>
            <w:tcW w:w="1701" w:type="dxa"/>
            <w:shd w:val="clear" w:color="auto" w:fill="auto"/>
            <w:noWrap w:val="false"/>
            <w:textDirection w:val="lrTb"/>
          </w:tcPr>
          <w:p>
            <w:pPr>
              <w:pStyle w:val="972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.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06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.202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W w:w="5669" w:type="dxa"/>
            <w:noWrap w:val="false"/>
            <w:tcMar>
              <w:right w:w="85" w:type="dxa"/>
            </w:tcMar>
            <w:textDirection w:val="lrTb"/>
          </w:tcPr>
          <w:p>
            <w:pPr>
              <w:pStyle w:val="972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W w:w="2268" w:type="dxa"/>
            <w:noWrap w:val="false"/>
            <w:textDirection w:val="lrTb"/>
          </w:tcPr>
          <w:p>
            <w:pPr>
              <w:pStyle w:val="972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</w:r>
            <w:bookmarkStart w:id="0" w:name="РегНомер"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highlight w:val="none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highlight w:val="none"/>
              </w:rPr>
              <w:t xml:space="preserve"> </w:t>
            </w:r>
            <w:bookmarkEnd w:id="0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  <w:highlight w:val="none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  <w:highlight w:val="none"/>
              </w:rPr>
              <w:t xml:space="preserve"> _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-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  <w:highlight w:val="none"/>
              </w:rPr>
              <w:t xml:space="preserve">п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  <w:highlight w:val="none"/>
              </w:rPr>
            </w:r>
          </w:p>
        </w:tc>
      </w:tr>
    </w:tbl>
    <w:p>
      <w:pPr>
        <w:keepNext/>
        <w:keepLines/>
        <w:widowControl w:val="off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firstLine="540"/>
        <w:jc w:val="center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О внесении изменений в приказ</w:t>
      </w:r>
      <w:r>
        <w:rPr>
          <w:rFonts w:ascii="PT Astra Serif" w:hAnsi="PT Astra Serif"/>
          <w:bCs/>
          <w:sz w:val="28"/>
          <w:szCs w:val="28"/>
          <w:highlight w:val="none"/>
        </w:rPr>
      </w:r>
      <w:r>
        <w:rPr>
          <w:rFonts w:ascii="PT Astra Serif" w:hAnsi="PT Astra Serif"/>
          <w:bCs/>
          <w:sz w:val="28"/>
          <w:szCs w:val="28"/>
          <w:highlight w:val="none"/>
        </w:rPr>
      </w:r>
    </w:p>
    <w:p>
      <w:pPr>
        <w:keepNext/>
        <w:keepLines/>
        <w:widowControl w:val="off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firstLine="540"/>
        <w:jc w:val="center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Департамента государственного заказа Томской области </w:t>
      </w:r>
      <w:r>
        <w:rPr>
          <w:rFonts w:ascii="PT Astra Serif" w:hAnsi="PT Astra Serif"/>
          <w:bCs/>
          <w:sz w:val="28"/>
          <w:szCs w:val="28"/>
          <w:highlight w:val="none"/>
        </w:rPr>
      </w:r>
      <w:r>
        <w:rPr>
          <w:rFonts w:ascii="PT Astra Serif" w:hAnsi="PT Astra Serif"/>
          <w:bCs/>
          <w:sz w:val="28"/>
          <w:szCs w:val="28"/>
          <w:highlight w:val="none"/>
        </w:rPr>
      </w:r>
    </w:p>
    <w:p>
      <w:pPr>
        <w:keepNext/>
        <w:keepLines/>
        <w:widowControl w:val="off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firstLine="540"/>
        <w:jc w:val="center"/>
        <w:rPr>
          <w:rFonts w:ascii="PT Astra Serif" w:hAnsi="PT Astra Serif"/>
          <w:bCs/>
          <w:sz w:val="28"/>
          <w:szCs w:val="28"/>
          <w:highlight w:val="none"/>
        </w:rPr>
      </w:pP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от</w:t>
      </w: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 07.1</w:t>
      </w: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0</w:t>
      </w: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.2024 №</w:t>
      </w: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 </w:t>
      </w:r>
      <w:r>
        <w:rPr>
          <w:rFonts w:ascii="PT Astra Serif" w:hAnsi="PT Astra Serif"/>
          <w:bCs/>
          <w:sz w:val="28"/>
          <w:szCs w:val="28"/>
          <w:highlight w:val="none"/>
          <w:lang w:eastAsia="ru-RU" w:bidi="ar-SA"/>
        </w:rPr>
        <w:t xml:space="preserve">12-п </w:t>
      </w:r>
      <w:bookmarkStart w:id="1" w:name="_GoBack"/>
      <w:r>
        <w:rPr>
          <w:highlight w:val="none"/>
        </w:rPr>
      </w:r>
      <w:bookmarkEnd w:id="1"/>
      <w:r>
        <w:rPr>
          <w:rFonts w:ascii="PT Astra Serif" w:hAnsi="PT Astra Serif"/>
          <w:bCs/>
          <w:sz w:val="28"/>
          <w:szCs w:val="28"/>
          <w:highlight w:val="none"/>
        </w:rPr>
      </w:r>
      <w:r>
        <w:rPr>
          <w:rFonts w:ascii="PT Astra Serif" w:hAnsi="PT Astra Serif"/>
          <w:bCs/>
          <w:sz w:val="28"/>
          <w:szCs w:val="28"/>
          <w:highlight w:val="none"/>
        </w:rPr>
      </w:r>
    </w:p>
    <w:p>
      <w:pPr>
        <w:pStyle w:val="979"/>
        <w:ind w:firstLine="54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79"/>
        <w:ind w:firstLine="54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7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7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tabs>
          <w:tab w:val="left" w:pos="0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1.</w:t>
      </w:r>
      <w:r>
        <w:rPr>
          <w:rFonts w:ascii="PT Astra Serif" w:hAnsi="PT Astra Serif"/>
          <w:sz w:val="28"/>
          <w:szCs w:val="28"/>
          <w:highlight w:val="none"/>
        </w:rPr>
        <w:t xml:space="preserve"> </w:t>
      </w:r>
      <w:r>
        <w:rPr>
          <w:rFonts w:ascii="PT Astra Serif" w:hAnsi="PT Astra Serif"/>
          <w:sz w:val="28"/>
          <w:szCs w:val="28"/>
          <w:highlight w:val="none"/>
        </w:rPr>
        <w:t xml:space="preserve"> Внести в приказ Департамента государственного заказа Томской области от 07.10.2024 № 12-п «Об утверждении типового положения о закупке товаров, работ, услуг» («</w:t>
      </w:r>
      <w:r>
        <w:rPr>
          <w:rFonts w:ascii="PT Astra Serif" w:hAnsi="PT Astra Serif"/>
          <w:bCs/>
          <w:sz w:val="28"/>
          <w:szCs w:val="28"/>
          <w:highlight w:val="none"/>
        </w:rPr>
        <w:t xml:space="preserve">Официальный интернет-портал правовой информации» </w:t>
      </w:r>
      <w:hyperlink r:id="rId13" w:tooltip="http://www.pravo.gov.ru" w:history="1">
        <w:r>
          <w:rPr>
            <w:rStyle w:val="955"/>
            <w:rFonts w:ascii="PT Astra Serif" w:hAnsi="PT Astra Serif"/>
            <w:bCs/>
            <w:color w:val="auto"/>
            <w:sz w:val="28"/>
            <w:szCs w:val="28"/>
            <w:highlight w:val="none"/>
            <w:u w:val="none"/>
          </w:rPr>
          <w:t xml:space="preserve">(www.pravo.gov.ru)</w:t>
        </w:r>
      </w:hyperlink>
      <w:r>
        <w:rPr>
          <w:rFonts w:ascii="PT Astra Serif" w:hAnsi="PT Astra Serif"/>
          <w:bCs/>
          <w:sz w:val="28"/>
          <w:szCs w:val="28"/>
          <w:highlight w:val="none"/>
        </w:rPr>
        <w:t xml:space="preserve">,</w:t>
      </w:r>
      <w:r>
        <w:rPr>
          <w:rFonts w:ascii="PT Astra Serif" w:hAnsi="PT Astra Serif"/>
          <w:bCs/>
          <w:sz w:val="28"/>
          <w:szCs w:val="28"/>
          <w:highlight w:val="none"/>
        </w:rPr>
        <w:t xml:space="preserve"> 14.10.2024</w:t>
      </w:r>
      <w:r>
        <w:rPr>
          <w:rFonts w:ascii="PT Astra Serif" w:hAnsi="PT Astra Serif"/>
          <w:sz w:val="28"/>
          <w:szCs w:val="28"/>
          <w:highlight w:val="none"/>
        </w:rPr>
        <w:t xml:space="preserve">,</w:t>
      </w:r>
      <w:r>
        <w:rPr>
          <w:rFonts w:ascii="PT Astra Serif" w:hAnsi="PT Astra Serif"/>
          <w:sz w:val="28"/>
          <w:szCs w:val="28"/>
          <w:highlight w:val="none"/>
        </w:rPr>
        <w:t xml:space="preserve"> 7001202410140009</w:t>
      </w:r>
      <w:r>
        <w:rPr>
          <w:rFonts w:ascii="PT Astra Serif" w:hAnsi="PT Astra Serif"/>
          <w:sz w:val="28"/>
          <w:szCs w:val="28"/>
          <w:highlight w:val="none"/>
        </w:rPr>
        <w:t xml:space="preserve">) следующие изменения: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widowControl w:val="off"/>
        <w:tabs>
          <w:tab w:val="left" w:pos="993" w:leader="none"/>
          <w:tab w:val="left" w:pos="1134" w:leader="none"/>
        </w:tabs>
        <w:ind w:firstLine="709"/>
        <w:contextualSpacing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в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т</w:t>
      </w:r>
      <w:r>
        <w:rPr>
          <w:rFonts w:ascii="PT Astra Serif" w:hAnsi="PT Astra Serif"/>
          <w:sz w:val="28"/>
          <w:szCs w:val="28"/>
          <w:highlight w:val="none"/>
        </w:rPr>
        <w:t xml:space="preserve">иповом положении о закупке товаров, работ, услуг, утвержденном указанным приказом: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</w:t>
      </w:r>
      <w:r>
        <w:rPr>
          <w:rFonts w:ascii="PT Astra Serif" w:hAnsi="PT Astra Serif"/>
          <w:sz w:val="28"/>
          <w:szCs w:val="28"/>
          <w:highlight w:val="none"/>
        </w:rPr>
        <w:t xml:space="preserve"> 4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widowControl w:val="off"/>
        <w:tabs>
          <w:tab w:val="left" w:pos="993" w:leader="none"/>
          <w:tab w:val="left" w:pos="1134" w:leader="none"/>
        </w:tabs>
        <w:ind w:firstLine="709"/>
        <w:contextualSpacing/>
        <w:jc w:val="both"/>
        <w:rPr>
          <w:rFonts w:ascii="PT Astra Serif" w:hAnsi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</w:t>
      </w:r>
      <w:r>
        <w:rPr>
          <w:rFonts w:ascii="PT Astra Serif" w:hAnsi="PT Astra Serif"/>
          <w:sz w:val="28"/>
          <w:szCs w:val="28"/>
          <w:highlight w:val="none"/>
        </w:rPr>
        <w:t xml:space="preserve"> подпунктом 13-1) следующего содержания:</w:t>
      </w:r>
      <w:r>
        <w:rPr>
          <w:rFonts w:ascii="PT Astra Serif" w:hAnsi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/>
          <w:sz w:val="28"/>
          <w:szCs w:val="28"/>
          <w:highlight w:val="none"/>
          <w14:ligatures w14:val="none"/>
        </w:rPr>
      </w:r>
    </w:p>
    <w:p>
      <w:pPr>
        <w:widowControl w:val="off"/>
        <w:tabs>
          <w:tab w:val="left" w:pos="993" w:leader="none"/>
          <w:tab w:val="left" w:pos="1134" w:leader="none"/>
        </w:tabs>
        <w:ind w:firstLine="709"/>
        <w:contextualSpacing/>
        <w:jc w:val="both"/>
        <w:rPr>
          <w:rFonts w:ascii="PT Astra Serif" w:hAnsi="PT Astra Serif"/>
          <w:sz w:val="28"/>
          <w:szCs w:val="28"/>
          <w:highlight w:val="none"/>
          <w14:ligatures w14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13-1) 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перви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чный учетный документ – документ,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 подтверждающий расходы заказчика, связанные с приобретением товаров, выполнением работ, оказанием услуг 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(кассовый чек, квитанция об оплате, торговый товарный счет),</w:t>
      </w:r>
      <w:r>
        <w:rPr>
          <w:rFonts w:ascii="PT Astra Serif" w:hAnsi="PT Astra Serif"/>
          <w:sz w:val="28"/>
          <w:szCs w:val="28"/>
          <w:highlight w:val="none"/>
          <w:lang w:eastAsia="ru-RU"/>
        </w:rPr>
        <w:t xml:space="preserve"> и содержащий все установленные частью 2 статьи 9 Федерального закона от     6 декабря 2011 года № 402-ФЗ «О бухгалтерском учете» обязательные реквизиты первичного учетного документа;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  <w14:ligatures w14:val="none"/>
        </w:rPr>
      </w:r>
      <w:r>
        <w:rPr>
          <w:rFonts w:ascii="PT Astra Serif" w:hAnsi="PT Astra Serif"/>
          <w:sz w:val="28"/>
          <w:szCs w:val="28"/>
          <w:highlight w:val="none"/>
          <w14:ligatures w14:val="none"/>
        </w:rPr>
      </w:r>
    </w:p>
    <w:p>
      <w:pPr>
        <w:tabs>
          <w:tab w:val="left" w:pos="1134" w:leader="none"/>
        </w:tabs>
        <w:ind w:left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</w:t>
      </w:r>
      <w:r>
        <w:rPr>
          <w:rFonts w:ascii="PT Astra Serif" w:hAnsi="PT Astra Serif"/>
          <w:sz w:val="28"/>
          <w:szCs w:val="28"/>
          <w:highlight w:val="none"/>
        </w:rPr>
        <w:t xml:space="preserve"> подпункт</w:t>
      </w:r>
      <w:r>
        <w:rPr>
          <w:rFonts w:ascii="PT Astra Serif" w:hAnsi="PT Astra Serif"/>
          <w:sz w:val="28"/>
          <w:szCs w:val="28"/>
          <w:highlight w:val="none"/>
        </w:rPr>
        <w:t xml:space="preserve">ом</w:t>
      </w:r>
      <w:r>
        <w:rPr>
          <w:rFonts w:ascii="PT Astra Serif" w:hAnsi="PT Astra Serif"/>
          <w:sz w:val="28"/>
          <w:szCs w:val="28"/>
          <w:highlight w:val="none"/>
        </w:rPr>
        <w:t xml:space="preserve"> 14</w:t>
      </w:r>
      <w:r>
        <w:rPr>
          <w:rFonts w:ascii="PT Astra Serif" w:hAnsi="PT Astra Serif"/>
          <w:sz w:val="28"/>
          <w:szCs w:val="28"/>
          <w:highlight w:val="none"/>
        </w:rPr>
        <w:t xml:space="preserve">-1</w:t>
      </w:r>
      <w:r>
        <w:rPr>
          <w:rFonts w:ascii="PT Astra Serif" w:hAnsi="PT Astra Serif"/>
          <w:sz w:val="28"/>
          <w:szCs w:val="28"/>
          <w:highlight w:val="none"/>
        </w:rPr>
        <w:t xml:space="preserve">)</w:t>
      </w:r>
      <w:r>
        <w:rPr>
          <w:rFonts w:ascii="PT Astra Serif" w:hAnsi="PT Astra Serif"/>
          <w:sz w:val="28"/>
          <w:szCs w:val="28"/>
          <w:highlight w:val="none"/>
        </w:rPr>
        <w:t xml:space="preserve">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 w:eastAsia="Calibri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«14</w:t>
      </w:r>
      <w:r>
        <w:rPr>
          <w:rFonts w:ascii="PT Astra Serif" w:hAnsi="PT Astra Serif" w:eastAsia="Calibri"/>
          <w:sz w:val="28"/>
          <w:szCs w:val="28"/>
          <w:highlight w:val="none"/>
          <w:lang w:eastAsia="ru-RU" w:bidi="ar-SA"/>
        </w:rPr>
        <w:t xml:space="preserve">-1</w:t>
      </w:r>
      <w:r>
        <w:rPr>
          <w:rFonts w:ascii="PT Astra Serif" w:hAnsi="PT Astra Serif" w:eastAsia="Calibri"/>
          <w:sz w:val="28"/>
          <w:szCs w:val="28"/>
          <w:highlight w:val="none"/>
          <w:lang w:eastAsia="ru-RU" w:bidi="ar-SA"/>
        </w:rPr>
        <w:t xml:space="preserve">) </w:t>
      </w:r>
      <w:r>
        <w:rPr>
          <w:rFonts w:ascii="PT Astra Serif" w:hAnsi="PT Astra Serif" w:eastAsia="Calibri"/>
          <w:sz w:val="28"/>
          <w:szCs w:val="28"/>
          <w:highlight w:val="none"/>
          <w:lang w:eastAsia="ru-RU" w:bidi="ar-SA"/>
        </w:rPr>
        <w:t xml:space="preserve">подотчетное лицо – лицо, заключившее с заказчиком трудовой договор или договор гражданско-правового характера и получившее от заказчика наличные денежные средства под отчет на расходы, связанные с осуществлением деятельности заказчика;</w:t>
      </w:r>
      <w:r>
        <w:rPr>
          <w:rFonts w:ascii="PT Astra Serif" w:hAnsi="PT Astra Serif" w:eastAsia="Calibri"/>
          <w:sz w:val="28"/>
          <w:szCs w:val="28"/>
          <w:highlight w:val="none"/>
          <w:lang w:eastAsia="ru-RU" w:bidi="ar-SA"/>
        </w:rPr>
        <w:t xml:space="preserve">»;</w:t>
      </w:r>
      <w:r>
        <w:rPr>
          <w:rFonts w:ascii="PT Astra Serif" w:hAnsi="PT Astra Serif" w:eastAsia="Calibri"/>
          <w:sz w:val="28"/>
          <w:szCs w:val="28"/>
          <w:highlight w:val="none"/>
        </w:rPr>
      </w:r>
      <w:r>
        <w:rPr>
          <w:rFonts w:ascii="PT Astra Serif" w:hAnsi="PT Astra Serif" w:eastAsia="Calibri"/>
          <w:sz w:val="28"/>
          <w:szCs w:val="28"/>
          <w:highlight w:val="none"/>
        </w:rPr>
      </w:r>
    </w:p>
    <w:p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подпункт 14-1) считать подпунктом 14-2);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в пункте 12: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подпункт 2)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2) закупка у единственного поставщика (исполнителя, подрядчика) в электронной форме;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 подпунктом 3)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3) неконкурентная закупка в электронной форме, участниками которой являются только субъекты малого и среднего предпринимательства.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3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 пунктом 34-1 следующего содержания: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rPr>
          <w:rFonts w:ascii="PT Astra Serif" w:hAnsi="PT Astra Serif" w:eastAsia="Calibri"/>
          <w:color w:val="000000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3</w:t>
      </w:r>
      <w:r>
        <w:rPr>
          <w:rFonts w:ascii="PT Astra Serif" w:hAnsi="PT Astra Serif"/>
          <w:sz w:val="28"/>
          <w:szCs w:val="28"/>
          <w:highlight w:val="none"/>
        </w:rPr>
        <w:t xml:space="preserve">4-1. Заказчик вправе установить при осуществлении конкурентной закупки в документации о закупке, извещении о проведении запроса котировок, [при осуществлении закупки у единственного поставщика (исполнителя, подрядчика)]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5-2</w:t>
      </w:r>
      <w:r>
        <w:rPr>
          <w:rFonts w:ascii="PT Astra Serif" w:hAnsi="PT Astra Serif"/>
          <w:sz w:val="28"/>
          <w:szCs w:val="28"/>
          <w:highlight w:val="none"/>
        </w:rPr>
        <w:t xml:space="preserve">, неконкурентной закупки в электро</w:t>
      </w:r>
      <w:r>
        <w:rPr>
          <w:rFonts w:ascii="PT Astra Serif" w:hAnsi="PT Astra Serif"/>
          <w:sz w:val="28"/>
          <w:szCs w:val="28"/>
          <w:highlight w:val="none"/>
        </w:rPr>
        <w:t xml:space="preserve">н</w:t>
      </w:r>
      <w:r>
        <w:rPr>
          <w:rFonts w:ascii="PT Astra Serif" w:hAnsi="PT Astra Serif"/>
          <w:sz w:val="28"/>
          <w:szCs w:val="28"/>
          <w:highlight w:val="none"/>
        </w:rPr>
        <w:t xml:space="preserve">ной форме, участниками которой являются только СМСП, требование об отсутствии информации об участнике закупки в реестре недобросовестных поставщиков, предусмотренном статьей 5 Федерального закона № 223-ФЗ, и (или) в реестре недобросовестных поставщиков, пр</w:t>
      </w:r>
      <w:r>
        <w:rPr>
          <w:rFonts w:ascii="PT Astra Serif" w:hAnsi="PT Astra Serif"/>
          <w:sz w:val="28"/>
          <w:szCs w:val="28"/>
          <w:highlight w:val="none"/>
        </w:rPr>
        <w:t xml:space="preserve">едусмотренном Федеральным законом № 44-ФЗ.</w:t>
      </w:r>
      <w:r>
        <w:rPr>
          <w:rFonts w:ascii="PT Astra Serif" w:hAnsi="PT Astra Serif" w:eastAsia="Calibri"/>
          <w:color w:val="000000"/>
          <w:sz w:val="28"/>
          <w:szCs w:val="28"/>
          <w:highlight w:val="none"/>
          <w:lang w:eastAsia="ru-RU" w:bidi="ar-SA"/>
        </w:rPr>
        <w:t xml:space="preserve">»;</w:t>
      </w:r>
      <w:r>
        <w:rPr>
          <w:rFonts w:ascii="PT Astra Serif" w:hAnsi="PT Astra Serif" w:eastAsia="Calibri"/>
          <w:color w:val="000000"/>
          <w:sz w:val="28"/>
          <w:szCs w:val="28"/>
          <w:highlight w:val="none"/>
        </w:rPr>
      </w:r>
      <w:r>
        <w:rPr>
          <w:rFonts w:ascii="PT Astra Serif" w:hAnsi="PT Astra Serif" w:eastAsia="Calibri"/>
          <w:color w:val="000000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ind w:left="0" w:right="0"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45-1</w:t>
      </w:r>
      <w:r>
        <w:rPr>
          <w:rFonts w:ascii="PT Astra Serif" w:hAnsi="PT Astra Serif"/>
          <w:sz w:val="28"/>
          <w:szCs w:val="28"/>
          <w:highlight w:val="none"/>
        </w:rPr>
        <w:t xml:space="preserve"> дополнить</w:t>
      </w:r>
      <w:r>
        <w:rPr>
          <w:rFonts w:ascii="PT Astra Serif" w:hAnsi="PT Astra Serif"/>
          <w:sz w:val="28"/>
          <w:szCs w:val="28"/>
          <w:highlight w:val="none"/>
        </w:rPr>
        <w:t xml:space="preserve"> абзацем двадцать четвертым </w:t>
      </w:r>
      <w:r>
        <w:rPr>
          <w:rFonts w:ascii="PT Astra Serif" w:hAnsi="PT Astra Serif"/>
          <w:sz w:val="28"/>
          <w:szCs w:val="28"/>
          <w:highlight w:val="none"/>
        </w:rPr>
        <w:t xml:space="preserve">следующего содержания: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В</w:t>
      </w:r>
      <w:r>
        <w:rPr>
          <w:rFonts w:ascii="PT Astra Serif" w:hAnsi="PT Astra Serif"/>
          <w:sz w:val="28"/>
          <w:szCs w:val="28"/>
          <w:highlight w:val="none"/>
        </w:rPr>
        <w:t xml:space="preserve"> случае осуществления закупки у единственного поставщика (исполнителя,  подрядчика) через подотчетное лицо, заказчик вправе определять и обосновывать цену такого договора на основании первичного учетного документа, предоставленного подотчетным лицом. При э</w:t>
      </w:r>
      <w:r>
        <w:rPr>
          <w:rFonts w:ascii="PT Astra Serif" w:hAnsi="PT Astra Serif"/>
          <w:sz w:val="28"/>
          <w:szCs w:val="28"/>
          <w:highlight w:val="none"/>
        </w:rPr>
        <w:t xml:space="preserve">том договор с единственным поставщиком (исполнителем, подрядчиком), в том числе из числа СМСП, заключается на сумму, не превышающую 20 (двадцати) тысяч рублей.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дополнить</w:t>
      </w:r>
      <w:r>
        <w:rPr>
          <w:rFonts w:ascii="PT Astra Serif" w:hAnsi="PT Astra Serif"/>
          <w:sz w:val="28"/>
          <w:szCs w:val="28"/>
          <w:highlight w:val="none"/>
        </w:rPr>
        <w:t xml:space="preserve"> пунктом 52-1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5</w:t>
      </w:r>
      <w:r>
        <w:rPr>
          <w:rFonts w:ascii="PT Astra Serif" w:hAnsi="PT Astra Serif"/>
          <w:sz w:val="28"/>
          <w:szCs w:val="28"/>
          <w:highlight w:val="none"/>
        </w:rPr>
        <w:t xml:space="preserve">2-1. Предложение участников закупки в части цены договора и цены единицы товара, работы, услуги не могут превышать соответственно НМЦД и начальную максимальную цену единицы товара, работы, услуги, которые определены и обоснованы заказчиком в извещении о за</w:t>
      </w:r>
      <w:r>
        <w:rPr>
          <w:rFonts w:ascii="PT Astra Serif" w:hAnsi="PT Astra Serif"/>
          <w:sz w:val="28"/>
          <w:szCs w:val="28"/>
          <w:highlight w:val="none"/>
        </w:rPr>
        <w:t xml:space="preserve">купке и документации о закупке. Заявки, содержащие предложения с превышением указанных цен, подлежат отклонению в соответствии с порядком, установленным настоящим Положением о закупке.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53</w:t>
      </w:r>
      <w:r>
        <w:rPr>
          <w:rFonts w:ascii="PT Astra Serif" w:hAnsi="PT Astra Serif"/>
          <w:sz w:val="28"/>
          <w:szCs w:val="28"/>
          <w:highlight w:val="none"/>
        </w:rPr>
        <w:t xml:space="preserve"> изложить в следующей редакции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53. Настоящим Положением о закупке устанавливается требование обеспечения заявок на участие в закупках, осуществляемых способами, указанными в пункте 11 настоящего Положения о закупке.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13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161 дополнить подпунктом 5-1)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5-1) размер обеспечения заявки на участие в запросе котировок, порядок и срок его предоставления в случае установления требования обеспечения заявки на участие в запросе котировок;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993" w:leader="none"/>
        </w:tabs>
        <w:ind w:left="0"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164 дополнить подпунктом 7) следующего содержания:</w:t>
      </w:r>
      <w:r>
        <w:rPr>
          <w:highlight w:val="none"/>
        </w:rPr>
      </w:r>
      <w:r>
        <w:rPr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7) информацию и документы об обеспечении заявки на участие в запросе котировок, если соответствующее требование предусмотрено извещением о проведении запроса котировок.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в п</w:t>
      </w:r>
      <w:r>
        <w:rPr>
          <w:rFonts w:ascii="PT Astra Serif" w:hAnsi="PT Astra Serif"/>
          <w:sz w:val="28"/>
          <w:szCs w:val="28"/>
          <w:highlight w:val="none"/>
        </w:rPr>
        <w:t xml:space="preserve">ункте 222: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993" w:leader="none"/>
        </w:tabs>
        <w:ind w:left="709" w:firstLine="0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  <w:t xml:space="preserve">абзац первый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изложить в следующей </w:t>
      </w:r>
      <w:r>
        <w:rPr>
          <w:rFonts w:ascii="PT Astra Serif" w:hAnsi="PT Astra Serif"/>
          <w:sz w:val="28"/>
          <w:szCs w:val="28"/>
          <w:highlight w:val="none"/>
        </w:rPr>
        <w:t xml:space="preserve">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«222.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42-1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Заказчик вправе осуществить з</w:t>
      </w:r>
      <w:r>
        <w:rPr>
          <w:rFonts w:ascii="PT Astra Serif" w:hAnsi="PT Astra Serif"/>
          <w:sz w:val="28"/>
          <w:szCs w:val="28"/>
          <w:highlight w:val="none"/>
        </w:rPr>
        <w:t xml:space="preserve">акупку у единственного поставщика (подрядчика, исполнителя), когда проведение закупок на конкурентной основе по экономическим, временным или иным объективным причинам нецелесообразно, в случаях и в порядке, предусмотренным насто</w:t>
      </w:r>
      <w:r>
        <w:rPr>
          <w:rFonts w:ascii="PT Astra Serif" w:hAnsi="PT Astra Serif"/>
          <w:sz w:val="28"/>
          <w:szCs w:val="28"/>
          <w:highlight w:val="none"/>
        </w:rPr>
        <w:t xml:space="preserve">ящим разделом. Перечень случаев проведения закупки у единственного поставщика (исполнителя, подрядчика):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43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подпункт 9) исключить;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подпункт 17)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1</w:t>
      </w:r>
      <w:r>
        <w:rPr>
          <w:rFonts w:ascii="PT Astra Serif" w:hAnsi="PT Astra Serif"/>
          <w:sz w:val="28"/>
          <w:szCs w:val="28"/>
          <w:highlight w:val="none"/>
        </w:rPr>
        <w:t xml:space="preserve">7) в случае, если договор, заключенный по результатам проведения конкурентной закупки, закупки у единственного поставщика (исполнителя, подрядчика) в электронной форме, неконкурентной закупки в электронной форме, участниками которой являются только СМСП, р</w:t>
      </w:r>
      <w:r>
        <w:rPr>
          <w:rFonts w:ascii="PT Astra Serif" w:hAnsi="PT Astra Serif"/>
          <w:sz w:val="28"/>
          <w:szCs w:val="28"/>
          <w:highlight w:val="none"/>
        </w:rPr>
        <w:t xml:space="preserve">а</w:t>
      </w:r>
      <w:r>
        <w:rPr>
          <w:rFonts w:ascii="PT Astra Serif" w:hAnsi="PT Astra Serif"/>
          <w:sz w:val="28"/>
          <w:szCs w:val="28"/>
          <w:highlight w:val="none"/>
        </w:rPr>
        <w:t xml:space="preserve">сторгнут, в связи с неисполнением или ненадлежащим исполнением поставщиком (исполнителем, подрядчиком) своих обязательств по такому договору, в том числе в связи с односторонним отказом заказчика от исполнения договора, если такое условие было предусмотрен</w:t>
      </w:r>
      <w:r>
        <w:rPr>
          <w:rFonts w:ascii="PT Astra Serif" w:hAnsi="PT Astra Serif"/>
          <w:sz w:val="28"/>
          <w:szCs w:val="28"/>
          <w:highlight w:val="none"/>
        </w:rPr>
        <w:t xml:space="preserve">о</w:t>
      </w:r>
      <w:r>
        <w:rPr>
          <w:rFonts w:ascii="PT Astra Serif" w:hAnsi="PT Astra Serif"/>
          <w:sz w:val="28"/>
          <w:szCs w:val="28"/>
          <w:highlight w:val="none"/>
        </w:rPr>
        <w:t xml:space="preserve"> в договоре. При этом договор заключается на тех же условиях, что и расторгнутый договор. В случае, если до расторжения договора поставщик (исполнитель, подрядчик) частично исполнил обязательства, предусмотренные договором, при заключении нового договора к</w:t>
      </w:r>
      <w:r>
        <w:rPr>
          <w:rFonts w:ascii="PT Astra Serif" w:hAnsi="PT Astra Serif"/>
          <w:sz w:val="28"/>
          <w:szCs w:val="28"/>
          <w:highlight w:val="none"/>
        </w:rPr>
        <w:t xml:space="preserve">о</w:t>
      </w:r>
      <w:r>
        <w:rPr>
          <w:rFonts w:ascii="PT Astra Serif" w:hAnsi="PT Astra Serif"/>
          <w:sz w:val="28"/>
          <w:szCs w:val="28"/>
          <w:highlight w:val="none"/>
        </w:rPr>
        <w:t xml:space="preserve">личество поставляемого товара, объем выполняемой работы, оказываемой услуги должны быть уменьшены с учетом количества поставленного товара, объема выполненной работы или оказанной услуги по расторгнутому договору. При этом цена договора по такому договору </w:t>
      </w:r>
      <w:r>
        <w:rPr>
          <w:rFonts w:ascii="PT Astra Serif" w:hAnsi="PT Astra Serif"/>
          <w:sz w:val="28"/>
          <w:szCs w:val="28"/>
          <w:highlight w:val="none"/>
        </w:rPr>
        <w:t xml:space="preserve">должна быть уменьшена пропорционально количеству поставленного товара, объему выполненной работы, оказанной услуги;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49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подпункт 47) исключить;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993" w:leader="none"/>
        </w:tabs>
        <w:ind w:left="1134" w:right="0" w:hanging="425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  <w:t xml:space="preserve">дополнить пунктом 222-1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709" w:leader="none"/>
        </w:tabs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ab/>
      </w: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</w:t>
      </w:r>
      <w:r>
        <w:rPr>
          <w:rFonts w:ascii="PT Astra Serif" w:hAnsi="PT Astra Serif"/>
          <w:sz w:val="28"/>
          <w:szCs w:val="28"/>
          <w:highlight w:val="none"/>
        </w:rPr>
        <w:t xml:space="preserve">22-1. При заключении договора с единственным поставщиком (подрядчиком, исполнителем) в случаях, предусмотренных настоящим Положением, в целях подтверждения надёжности поставщика (исполнителя, подрядчика) и минимизации рисков при заключении договоров, заказ</w:t>
      </w:r>
      <w:r>
        <w:rPr>
          <w:rFonts w:ascii="PT Astra Serif" w:hAnsi="PT Astra Serif"/>
          <w:sz w:val="28"/>
          <w:szCs w:val="28"/>
          <w:highlight w:val="none"/>
        </w:rPr>
        <w:t xml:space="preserve">ч</w:t>
      </w:r>
      <w:r>
        <w:rPr>
          <w:rFonts w:ascii="PT Astra Serif" w:hAnsi="PT Astra Serif"/>
          <w:sz w:val="28"/>
          <w:szCs w:val="28"/>
          <w:highlight w:val="none"/>
        </w:rPr>
        <w:t xml:space="preserve">ик вправе запрашивать и использовать выписку из сервиса оценки юридических лиц (сервиса оценки индивидуальных предпринимателей), содержащую результаты анализа (оценки) сведений о финансово‑хозяйственной деятельности юридического лица (индивидуального предп</w:t>
      </w:r>
      <w:r>
        <w:rPr>
          <w:rFonts w:ascii="PT Astra Serif" w:hAnsi="PT Astra Serif"/>
          <w:sz w:val="28"/>
          <w:szCs w:val="28"/>
          <w:highlight w:val="none"/>
        </w:rPr>
        <w:t xml:space="preserve">ринимателя).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709" w:leader="none"/>
        </w:tabs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ab/>
        <w:t xml:space="preserve">П</w:t>
      </w:r>
      <w:r>
        <w:rPr>
          <w:rFonts w:ascii="PT Astra Serif" w:hAnsi="PT Astra Serif"/>
          <w:sz w:val="28"/>
          <w:szCs w:val="28"/>
          <w:highlight w:val="none"/>
        </w:rPr>
        <w:t xml:space="preserve">ри предоставлении поставщиком (подрядчиком, исполнителем) выписки из сервиса оценки юридических лиц и (или) сервиса оценки индивидуальных предпринимателей заказчик, в целях подтверждения надежности   потенциального    поставщика    (исполнителя,   подрядчи</w:t>
      </w:r>
      <w:r>
        <w:rPr>
          <w:rFonts w:ascii="PT Astra Serif" w:hAnsi="PT Astra Serif"/>
          <w:sz w:val="28"/>
          <w:szCs w:val="28"/>
          <w:highlight w:val="none"/>
        </w:rPr>
        <w:t xml:space="preserve">к</w:t>
      </w:r>
      <w:r>
        <w:rPr>
          <w:rFonts w:ascii="PT Astra Serif" w:hAnsi="PT Astra Serif"/>
          <w:sz w:val="28"/>
          <w:szCs w:val="28"/>
          <w:highlight w:val="none"/>
        </w:rPr>
        <w:t xml:space="preserve">а), а также недопущения финансовых рисков в рамках преддоговорных проверок контрагентов, проводит проверку  достоверности представленной выписки, которая осуществляется путем сканирования содержащегося в такой выписке QR-кода и (или) использования официаль</w:t>
      </w:r>
      <w:r>
        <w:rPr>
          <w:rFonts w:ascii="PT Astra Serif" w:hAnsi="PT Astra Serif"/>
          <w:sz w:val="28"/>
          <w:szCs w:val="28"/>
          <w:highlight w:val="none"/>
        </w:rPr>
        <w:t xml:space="preserve">н</w:t>
      </w:r>
      <w:r>
        <w:rPr>
          <w:rFonts w:ascii="PT Astra Serif" w:hAnsi="PT Astra Serif"/>
          <w:sz w:val="28"/>
          <w:szCs w:val="28"/>
          <w:highlight w:val="none"/>
        </w:rPr>
        <w:t xml:space="preserve">ого    сайта    ФНС   России   https://service.nalog.ru/scoring/ в информационно-телекоммуникационной сети «Интернет», идентификационного    номера    налогоплательщика    участника   закупки и содержащейся в выписке информации в строке «код верификации да</w:t>
      </w:r>
      <w:r>
        <w:rPr>
          <w:rFonts w:ascii="PT Astra Serif" w:hAnsi="PT Astra Serif"/>
          <w:sz w:val="28"/>
          <w:szCs w:val="28"/>
          <w:highlight w:val="none"/>
        </w:rPr>
        <w:t xml:space="preserve">нных».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709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ab/>
        <w:t xml:space="preserve">По результатам проведения преддоговорной проверки заказчик анализирует полученную информацию и принимает решение о заключении договора либо об отказе от заключения договора.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пункт</w:t>
      </w:r>
      <w:r>
        <w:rPr>
          <w:rFonts w:ascii="PT Astra Serif" w:hAnsi="PT Astra Serif"/>
          <w:sz w:val="28"/>
          <w:szCs w:val="28"/>
          <w:highlight w:val="none"/>
        </w:rPr>
        <w:t xml:space="preserve"> 223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изложить в следующей редакции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223. Закупка у единственного поставщика (исполнителя, подрядчика) в электронной форме проводится на сумму, не превышающую _____.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64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  <w:t xml:space="preserve">дополнить пунктом 223-1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223-1. Неконкурентная закупка в электронной форме, участниками которой являются только СМСП проводится в порядке, предусмотренном пунктом 20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  <w:highlight w:val="none"/>
        </w:rPr>
        <w:t xml:space="preserve"> Положения об особенностях участия СМСП в закупках.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65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276" w:leader="none"/>
        </w:tabs>
        <w:ind w:left="851" w:hanging="77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228 дополнить подпунктом 5) следующего содержания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highlight w:val="none"/>
        </w:rPr>
      </w:r>
      <w:r>
        <w:rPr>
          <w:highlight w:val="none"/>
        </w:rPr>
      </w:r>
    </w:p>
    <w:p>
      <w:pPr>
        <w:pStyle w:val="815"/>
        <w:tabs>
          <w:tab w:val="left" w:pos="993" w:leader="none"/>
        </w:tabs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5</w:t>
      </w:r>
      <w:r>
        <w:rPr>
          <w:rFonts w:ascii="PT Astra Serif" w:hAnsi="PT Astra Serif"/>
          <w:sz w:val="28"/>
          <w:szCs w:val="28"/>
          <w:highlight w:val="none"/>
        </w:rPr>
        <w:t xml:space="preserve">) копии документов, подтверждающих соответствие товара, работы,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</w:t>
      </w:r>
      <w:r>
        <w:rPr>
          <w:rFonts w:ascii="PT Astra Serif" w:hAnsi="PT Astra Serif"/>
          <w:sz w:val="28"/>
          <w:szCs w:val="28"/>
          <w:highlight w:val="none"/>
        </w:rPr>
        <w:t xml:space="preserve">у</w:t>
      </w:r>
      <w:r>
        <w:rPr>
          <w:rFonts w:ascii="PT Astra Serif" w:hAnsi="PT Astra Serif"/>
          <w:sz w:val="28"/>
          <w:szCs w:val="28"/>
          <w:highlight w:val="none"/>
        </w:rPr>
        <w:t xml:space="preserve">, работе, услуге и предоставление указанных копий документов предусмотрено проектом договора. При этом не допускается требовать предоставления копий указанных документов, если в соответствии с законодательством Российской Федерации указанные документы пере</w:t>
      </w:r>
      <w:r>
        <w:rPr>
          <w:rFonts w:ascii="PT Astra Serif" w:hAnsi="PT Astra Serif"/>
          <w:sz w:val="28"/>
          <w:szCs w:val="28"/>
          <w:highlight w:val="none"/>
        </w:rPr>
        <w:t xml:space="preserve">даются вместе с товаром.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ind w:left="0" w:right="0"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 н</w:t>
      </w:r>
      <w:r>
        <w:rPr>
          <w:rFonts w:ascii="PT Astra Serif" w:hAnsi="PT Astra Serif"/>
          <w:sz w:val="28"/>
          <w:szCs w:val="28"/>
          <w:highlight w:val="none"/>
        </w:rPr>
        <w:t xml:space="preserve">аименование подраздела </w:t>
      </w:r>
      <w:r>
        <w:rPr>
          <w:rFonts w:ascii="PT Astra Serif" w:hAnsi="PT Astra Serif"/>
          <w:sz w:val="28"/>
          <w:szCs w:val="28"/>
          <w:highlight w:val="none"/>
        </w:rPr>
        <w:t xml:space="preserve"> «</w:t>
      </w:r>
      <w:r>
        <w:rPr>
          <w:rFonts w:ascii="PT Astra Serif" w:hAnsi="PT Astra Serif"/>
          <w:sz w:val="28"/>
          <w:szCs w:val="28"/>
          <w:highlight w:val="none"/>
        </w:rPr>
        <w:t xml:space="preserve">Порядок проведения неконкурентной закупки, </w:t>
      </w:r>
      <w:r>
        <w:rPr>
          <w:rFonts w:ascii="PT Astra Serif" w:hAnsi="PT Astra Serif"/>
          <w:sz w:val="28"/>
          <w:szCs w:val="28"/>
          <w:highlight w:val="none"/>
        </w:rPr>
        <w:t xml:space="preserve">предусмотренной пунктом 20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  <w:highlight w:val="none"/>
        </w:rPr>
        <w:t xml:space="preserve"> Постановления № 1352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70</w:t>
      </w:r>
      <w:r>
        <w:rPr>
          <w:rFonts w:ascii="PT Astra Serif" w:hAnsi="PT Astra Serif"/>
          <w:sz w:val="28"/>
          <w:szCs w:val="28"/>
          <w:highlight w:val="none"/>
        </w:rPr>
        <w:t xml:space="preserve">» изложить в следующей редакции:</w:t>
      </w:r>
      <w:r>
        <w:rPr>
          <w:highlight w:val="none"/>
        </w:rPr>
      </w:r>
      <w:r>
        <w:rPr>
          <w:highlight w:val="none"/>
        </w:rPr>
      </w:r>
    </w:p>
    <w:p>
      <w:pPr>
        <w:ind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Порядок проведения неконкурентной закупки в электронной форме, </w:t>
      </w:r>
      <w:r>
        <w:rPr>
          <w:rFonts w:ascii="PT Astra Serif" w:hAnsi="PT Astra Serif"/>
          <w:sz w:val="28"/>
          <w:szCs w:val="28"/>
          <w:highlight w:val="none"/>
        </w:rPr>
        <w:t xml:space="preserve">участниками которой являются только СМСП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70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highlight w:val="none"/>
        </w:rPr>
      </w:r>
      <w:r>
        <w:rPr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абзац первый  </w:t>
      </w:r>
      <w:r>
        <w:rPr>
          <w:rFonts w:ascii="PT Astra Serif" w:hAnsi="PT Astra Serif"/>
          <w:sz w:val="28"/>
          <w:szCs w:val="28"/>
          <w:highlight w:val="none"/>
        </w:rPr>
        <w:t xml:space="preserve">пункта</w:t>
      </w:r>
      <w:r>
        <w:rPr>
          <w:rFonts w:ascii="PT Astra Serif" w:hAnsi="PT Astra Serif"/>
          <w:sz w:val="28"/>
          <w:szCs w:val="28"/>
          <w:highlight w:val="none"/>
        </w:rPr>
        <w:t xml:space="preserve"> 237 </w:t>
      </w:r>
      <w:r>
        <w:rPr>
          <w:rFonts w:ascii="PT Astra Serif" w:hAnsi="PT Astra Serif"/>
          <w:sz w:val="28"/>
          <w:szCs w:val="28"/>
          <w:highlight w:val="none"/>
        </w:rPr>
        <w:t xml:space="preserve">изложить в следующей редакции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</w:t>
      </w:r>
      <w:r>
        <w:rPr>
          <w:rFonts w:ascii="PT Astra Serif" w:hAnsi="PT Astra Serif"/>
          <w:sz w:val="28"/>
          <w:szCs w:val="28"/>
          <w:highlight w:val="none"/>
        </w:rPr>
        <w:t xml:space="preserve">37. При проведении неконкурентной закупки в электронной форме, участниками которой являются только СМСП, заказчик руководствуется Федеральным законом № 223-ФЗ, Постановлением № 1352, настоящим Положением о закупке и регламентом электронной площадки с учето</w:t>
      </w:r>
      <w:r>
        <w:rPr>
          <w:rFonts w:ascii="PT Astra Serif" w:hAnsi="PT Astra Serif"/>
          <w:sz w:val="28"/>
          <w:szCs w:val="28"/>
          <w:highlight w:val="none"/>
        </w:rPr>
        <w:t xml:space="preserve">м следующих особенностей: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276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238 </w:t>
      </w:r>
      <w:r>
        <w:rPr>
          <w:rFonts w:ascii="PT Astra Serif" w:hAnsi="PT Astra Serif"/>
          <w:sz w:val="28"/>
          <w:szCs w:val="28"/>
          <w:highlight w:val="none"/>
        </w:rPr>
        <w:t xml:space="preserve">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</w:t>
      </w:r>
      <w:r>
        <w:rPr>
          <w:rFonts w:ascii="PT Astra Serif" w:hAnsi="PT Astra Serif"/>
          <w:sz w:val="28"/>
          <w:szCs w:val="28"/>
          <w:highlight w:val="none"/>
        </w:rPr>
        <w:t xml:space="preserve">38. Неконкурентная закупка в электронной форме, участниками которой являются только СМСП, осуществляется в случае, если предмет такой закупки в соответствии с требованиями Постановления № 1352 включен в утвержденный и размещенный в единой информационной си</w:t>
      </w:r>
      <w:r>
        <w:rPr>
          <w:rFonts w:ascii="PT Astra Serif" w:hAnsi="PT Astra Serif"/>
          <w:sz w:val="28"/>
          <w:szCs w:val="28"/>
          <w:highlight w:val="none"/>
        </w:rPr>
        <w:t xml:space="preserve">стеме и на сайте заказчика перечень товаров, работ, услуг, закупки которых осуществляются у СМСП. При этом запрещается в рамках одного лота закупать товары, работы, услуги включенные и не включенные в указанный перечень.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пункт</w:t>
      </w:r>
      <w:r>
        <w:rPr>
          <w:rFonts w:ascii="PT Astra Serif" w:hAnsi="PT Astra Serif"/>
          <w:sz w:val="28"/>
          <w:szCs w:val="28"/>
          <w:highlight w:val="none"/>
        </w:rPr>
        <w:t xml:space="preserve"> 239 изложить в следующей редакции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239. При осуществлении неконкурентной закупки в электронной форме, участниками которой являются только СМСП, заказчик составляет и размещает в единой информационной систем</w:t>
      </w:r>
      <w:r>
        <w:rPr>
          <w:rFonts w:ascii="PT Astra Serif" w:hAnsi="PT Astra Serif"/>
          <w:sz w:val="28"/>
          <w:szCs w:val="28"/>
          <w:highlight w:val="none"/>
        </w:rPr>
        <w:t xml:space="preserve">е извещение об осуществлении закупки.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пункт</w:t>
      </w:r>
      <w:r>
        <w:rPr>
          <w:rFonts w:ascii="PT Astra Serif" w:hAnsi="PT Astra Serif"/>
          <w:sz w:val="28"/>
          <w:szCs w:val="28"/>
          <w:highlight w:val="none"/>
        </w:rPr>
        <w:t xml:space="preserve"> 242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</w:t>
      </w:r>
      <w:r>
        <w:rPr>
          <w:rFonts w:ascii="PT Astra Serif" w:hAnsi="PT Astra Serif"/>
          <w:sz w:val="28"/>
          <w:szCs w:val="28"/>
          <w:highlight w:val="none"/>
        </w:rPr>
        <w:t xml:space="preserve">42. При осуществлении неконкурентной закупки в электронной форме, участниками которой являются только СМСП, заказчик вправе разработать и разместить в единой информационной системе документ, содержащий дополнительные сведения о проведении такой закупки: тр</w:t>
      </w:r>
      <w:r>
        <w:rPr>
          <w:rFonts w:ascii="PT Astra Serif" w:hAnsi="PT Astra Serif"/>
          <w:sz w:val="28"/>
          <w:szCs w:val="28"/>
          <w:highlight w:val="none"/>
        </w:rPr>
        <w:t xml:space="preserve">ебования к участникам закупки, требования к закупаемым товарам, работам, услугам, порядок и критерии оценки заявок.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276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243 </w:t>
      </w:r>
      <w:r>
        <w:rPr>
          <w:rFonts w:ascii="PT Astra Serif" w:hAnsi="PT Astra Serif"/>
          <w:sz w:val="28"/>
          <w:szCs w:val="28"/>
          <w:highlight w:val="none"/>
        </w:rPr>
        <w:t xml:space="preserve">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243. При осуществлении неконкурентной закупки в электронной форме, участниками которой являются только СМСП, заказчик вправе разместить в единой информационной системе проект договора.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276" w:leader="none"/>
        </w:tabs>
        <w:ind w:left="0" w:right="0"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249 дополнить абзацами четвертым, пятым и шестым следующего содержания</w:t>
      </w:r>
      <w:r>
        <w:rPr>
          <w:rFonts w:ascii="PT Astra Serif" w:hAnsi="PT Astra Serif"/>
          <w:sz w:val="28"/>
          <w:szCs w:val="28"/>
          <w:highlight w:val="none"/>
        </w:rPr>
        <w:t xml:space="preserve">: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По результатам рассмотрения предварительных предложений заказчик формирует протокол о результатах проведения закупки. 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</w:t>
      </w:r>
      <w:r>
        <w:rPr>
          <w:rFonts w:ascii="PT Astra Serif" w:hAnsi="PT Astra Serif"/>
          <w:sz w:val="28"/>
          <w:szCs w:val="28"/>
          <w:highlight w:val="none"/>
        </w:rPr>
        <w:t xml:space="preserve">ротокол о результатах проведения закупки должен содержать сведения об участниках, чьи предварительные предложения были рассмотрены заказчиком, об участнике, с которым заключается договор, об объеме, цене закупаемых товаров (работ, услуг). Указанный протоко</w:t>
      </w:r>
      <w:r>
        <w:rPr>
          <w:rFonts w:ascii="PT Astra Serif" w:hAnsi="PT Astra Serif"/>
          <w:sz w:val="28"/>
          <w:szCs w:val="28"/>
          <w:highlight w:val="none"/>
        </w:rPr>
        <w:t xml:space="preserve">л может содержать сведения, предусмотренные частью 14 статьи 32 Федерального закона              № 223-ФЗ.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</w:t>
      </w:r>
      <w:r>
        <w:rPr>
          <w:rFonts w:ascii="PT Astra Serif" w:hAnsi="PT Astra Serif"/>
          <w:sz w:val="28"/>
          <w:szCs w:val="28"/>
          <w:highlight w:val="none"/>
        </w:rPr>
        <w:t xml:space="preserve">ротокол о результатах проведения закупки подлежит размещению в единой информационной системе, за исключением случаев, предусмотренных действующим законодательством не позднее, чем через три дня со дня подписания. Указанный протокол размещается на электронн</w:t>
      </w:r>
      <w:r>
        <w:rPr>
          <w:rFonts w:ascii="PT Astra Serif" w:hAnsi="PT Astra Serif"/>
          <w:sz w:val="28"/>
          <w:szCs w:val="28"/>
          <w:highlight w:val="none"/>
        </w:rPr>
        <w:t xml:space="preserve">ой площадке в п</w:t>
      </w:r>
      <w:r>
        <w:rPr>
          <w:rFonts w:ascii="PT Astra Serif" w:hAnsi="PT Astra Serif"/>
          <w:sz w:val="28"/>
          <w:szCs w:val="28"/>
          <w:highlight w:val="none"/>
        </w:rPr>
        <w:t xml:space="preserve">орядке, предусмотренном регламентом оператора электронной площадки.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пункт 250 после слов «</w:t>
      </w:r>
      <w:r>
        <w:rPr>
          <w:rFonts w:ascii="PT Astra Serif" w:hAnsi="PT Astra Serif"/>
          <w:sz w:val="28"/>
          <w:szCs w:val="28"/>
          <w:highlight w:val="none"/>
        </w:rPr>
        <w:t xml:space="preserve">о поставке товара, выполнении работы, оказании услуги</w:t>
      </w:r>
      <w:r>
        <w:rPr>
          <w:rFonts w:ascii="PT Astra Serif" w:hAnsi="PT Astra Serif"/>
          <w:sz w:val="28"/>
          <w:szCs w:val="28"/>
          <w:highlight w:val="none"/>
        </w:rPr>
        <w:t xml:space="preserve">» дополнить словами «</w:t>
      </w:r>
      <w:r>
        <w:rPr>
          <w:rFonts w:ascii="PT Astra Serif" w:hAnsi="PT Astra Serif"/>
          <w:sz w:val="28"/>
          <w:szCs w:val="28"/>
          <w:highlight w:val="none"/>
        </w:rPr>
        <w:t xml:space="preserve">с соблюдением требований пункта 27 </w:t>
      </w:r>
      <w:r>
        <w:rPr>
          <w:rFonts w:ascii="PT Astra Serif" w:hAnsi="PT Astra Serif"/>
          <w:sz w:val="28"/>
          <w:szCs w:val="28"/>
          <w:highlight w:val="none"/>
        </w:rPr>
        <w:t xml:space="preserve">Постановления № 1352.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5-1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0" w:firstLine="0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ab/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5-1</w:t>
      </w:r>
      <w:r>
        <w:rPr>
          <w:rFonts w:ascii="PT Astra Serif" w:hAnsi="PT Astra Serif"/>
          <w:sz w:val="28"/>
          <w:szCs w:val="28"/>
          <w:highlight w:val="none"/>
        </w:rPr>
        <w:t xml:space="preserve"> В том числе при осуществлении закупки у единственного поставщика (исполнителя, подрядчика) в электронной форме, неконкурентной закупки в электронной форме, участниками которой являются только СМСП.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дополнить</w:t>
      </w:r>
      <w:r>
        <w:rPr>
          <w:rFonts w:ascii="PT Astra Serif" w:hAnsi="PT Astra Serif"/>
          <w:sz w:val="28"/>
          <w:szCs w:val="28"/>
          <w:highlight w:val="none"/>
        </w:rPr>
        <w:t xml:space="preserve"> примечанием </w:t>
      </w:r>
      <w:r>
        <w:rPr>
          <w:rFonts w:ascii="PT Astra Serif" w:hAnsi="PT Astra Serif"/>
          <w:sz w:val="28"/>
          <w:szCs w:val="28"/>
          <w:highlight w:val="none"/>
        </w:rPr>
        <w:t xml:space="preserve">5</w:t>
      </w:r>
      <w:r>
        <w:rPr>
          <w:rFonts w:ascii="PT Astra Serif" w:hAnsi="PT Astra Serif"/>
          <w:sz w:val="28"/>
          <w:szCs w:val="28"/>
          <w:highlight w:val="none"/>
        </w:rPr>
        <w:t xml:space="preserve">-2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ind w:lef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5-2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В том числе при осуществлении закупки у единственного поставщика (исполнителя, подрядчика) в электронной форме. 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</w:t>
      </w:r>
      <w:r>
        <w:rPr>
          <w:rFonts w:ascii="PT Astra Serif" w:hAnsi="PT Astra Serif"/>
          <w:sz w:val="28"/>
          <w:szCs w:val="28"/>
          <w:highlight w:val="none"/>
        </w:rPr>
        <w:t xml:space="preserve"> 13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13 </w:t>
      </w:r>
      <w:r>
        <w:rPr>
          <w:rFonts w:ascii="PT Astra Serif" w:hAnsi="PT Astra Serif"/>
          <w:sz w:val="28"/>
          <w:szCs w:val="28"/>
          <w:highlight w:val="none"/>
        </w:rPr>
        <w:t xml:space="preserve">При осуществлении закупок, указанных в пункта 11 настоящего Положения о закупке, участниками которых могут являться только СМСП, заказчик вправе установить требование обеспечения заявок на участие в закупках.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14 изложить в следующей редакции:</w:t>
      </w:r>
      <w:r>
        <w:rPr>
          <w:highlight w:val="none"/>
        </w:rPr>
      </w:r>
      <w:r>
        <w:rPr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14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Заказчики при осуществлении закупок, участниками которых могут являться только СМСП, устанавливают в извещении о проведении закупки и документации о закупке требование обеспечения заявок на участие в закупке с учетом статьи 3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4</w:t>
      </w:r>
      <w:r>
        <w:rPr>
          <w:rFonts w:ascii="PT Astra Serif" w:hAnsi="PT Astra Serif"/>
          <w:sz w:val="28"/>
          <w:szCs w:val="28"/>
          <w:highlight w:val="none"/>
        </w:rPr>
        <w:t xml:space="preserve"> Федерального закона от 18 июл</w:t>
      </w:r>
      <w:r>
        <w:rPr>
          <w:rFonts w:ascii="PT Astra Serif" w:hAnsi="PT Astra Serif"/>
          <w:sz w:val="28"/>
          <w:szCs w:val="28"/>
          <w:highlight w:val="none"/>
        </w:rPr>
        <w:t xml:space="preserve">я 2011 года № 223-ФЗ               «О закупках товаров, работ, услуг отдельными видами юридических лиц» (далее – Федеральный закон № 223-ФЗ).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33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33 </w:t>
      </w:r>
      <w:r>
        <w:rPr>
          <w:rFonts w:ascii="PT Astra Serif" w:hAnsi="PT Astra Serif"/>
          <w:sz w:val="28"/>
          <w:szCs w:val="28"/>
          <w:highlight w:val="none"/>
        </w:rPr>
        <w:t xml:space="preserve">Заказчик устанавливает в Положении о закупке сумму, не </w:t>
      </w:r>
      <w:r>
        <w:rPr>
          <w:rFonts w:ascii="PT Astra Serif" w:hAnsi="PT Astra Serif"/>
          <w:sz w:val="28"/>
          <w:szCs w:val="28"/>
          <w:highlight w:val="none"/>
        </w:rPr>
        <w:t xml:space="preserve">превышающую семь миллионов рублей.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48 исключить;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52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52 </w:t>
      </w:r>
      <w:r>
        <w:rPr>
          <w:rFonts w:ascii="PT Astra Serif" w:hAnsi="PT Astra Serif"/>
          <w:sz w:val="28"/>
          <w:szCs w:val="28"/>
          <w:highlight w:val="none"/>
        </w:rPr>
        <w:t xml:space="preserve">Закупка в соответствии с положениями настоящего подпункта предусмотрена для учреждений, подведомственных Департаменту спорта Томской области.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61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61</w:t>
      </w:r>
      <w:r>
        <w:rPr>
          <w:rFonts w:ascii="PT Astra Serif" w:hAnsi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/>
          <w:sz w:val="28"/>
          <w:szCs w:val="28"/>
          <w:highlight w:val="none"/>
        </w:rPr>
        <w:t xml:space="preserve">Закупка в соответствии с положениями настоящего подпункта предусмотрена для учреждений, подведомственных Департаменту финансово-ресурсного обеспечения Правительства Томской области.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65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ind w:left="0" w:firstLine="0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ab/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65 </w:t>
      </w:r>
      <w:r>
        <w:rPr>
          <w:rFonts w:ascii="PT Astra Serif" w:hAnsi="PT Astra Serif"/>
          <w:sz w:val="28"/>
          <w:szCs w:val="28"/>
          <w:highlight w:val="none"/>
        </w:rPr>
        <w:t xml:space="preserve">Пункт исключается в случае, если заказчиком не принято решение об осуществлении неконкурентной закупки в электронной форме, участниками которой являются только СМСП.</w:t>
      </w:r>
      <w:r>
        <w:rPr>
          <w:rFonts w:ascii="PT Astra Serif" w:hAnsi="PT Astra Serif"/>
          <w:sz w:val="28"/>
          <w:szCs w:val="28"/>
          <w:highlight w:val="none"/>
        </w:rPr>
        <w:t xml:space="preserve">»;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примечание 70 дополнить предложением следующего содержания: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</w:rPr>
        <w:t xml:space="preserve">В случае, если заказчиком не принято решение об осуществлении неконкурентной закупки в электронной форме, участниками которой являются только СМСП, данный раздел исключается, при этом дальнейшая нумерация пунктов сохраняется.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;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815"/>
        <w:numPr>
          <w:numId w:val="4"/>
          <w:ilvl w:val="0"/>
        </w:numPr>
        <w:tabs>
          <w:tab w:val="left" w:pos="1134" w:leader="none"/>
        </w:tabs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п</w:t>
      </w:r>
      <w:r>
        <w:rPr>
          <w:rFonts w:ascii="PT Astra Serif" w:hAnsi="PT Astra Serif"/>
          <w:sz w:val="28"/>
          <w:szCs w:val="28"/>
          <w:highlight w:val="none"/>
        </w:rPr>
        <w:t xml:space="preserve">римечание 74 изложить в следующей редакции: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left="0" w:right="0"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/>
          <w:sz w:val="28"/>
          <w:szCs w:val="28"/>
          <w:highlight w:val="none"/>
          <w:vertAlign w:val="superscript"/>
        </w:rPr>
        <w:t xml:space="preserve">74 </w:t>
      </w:r>
      <w:r>
        <w:rPr>
          <w:rFonts w:ascii="PT Astra Serif" w:hAnsi="PT Astra Serif"/>
          <w:sz w:val="28"/>
          <w:szCs w:val="28"/>
          <w:highlight w:val="none"/>
        </w:rPr>
        <w:t xml:space="preserve">П</w:t>
      </w:r>
      <w:r>
        <w:rPr>
          <w:rFonts w:ascii="PT Astra Serif" w:hAnsi="PT Astra Serif"/>
          <w:sz w:val="28"/>
          <w:szCs w:val="28"/>
          <w:highlight w:val="none"/>
        </w:rPr>
        <w:t xml:space="preserve">роцедура заключения договора по результатам осуществленной неконкурентной закупки в электронной форме, участниками которой являются только СМСП, регламентируется заказчиком путем установления в Положении о закупке сроков для направления оферты одной из сто</w:t>
      </w:r>
      <w:r>
        <w:rPr>
          <w:rFonts w:ascii="PT Astra Serif" w:hAnsi="PT Astra Serif"/>
          <w:sz w:val="28"/>
          <w:szCs w:val="28"/>
          <w:highlight w:val="none"/>
        </w:rPr>
        <w:t xml:space="preserve">рон и ее акцепта другой стороной.</w:t>
      </w:r>
      <w:r>
        <w:rPr>
          <w:rFonts w:ascii="PT Astra Serif" w:hAnsi="PT Astra Serif"/>
          <w:sz w:val="28"/>
          <w:szCs w:val="28"/>
          <w:highlight w:val="none"/>
        </w:rPr>
        <w:t xml:space="preserve">»</w:t>
      </w:r>
      <w:r>
        <w:rPr>
          <w:rFonts w:ascii="PT Astra Serif" w:hAnsi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56"/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2. Областным государственным бюджетным учреждениям, областным государственным автономным учреждениям в срок до </w:t>
      </w:r>
      <w:r>
        <w:rPr>
          <w:rFonts w:ascii="PT Astra Serif" w:hAnsi="PT Astra Serif"/>
          <w:sz w:val="28"/>
          <w:szCs w:val="28"/>
          <w:highlight w:val="none"/>
        </w:rPr>
        <w:t xml:space="preserve">1</w:t>
      </w:r>
      <w:r>
        <w:rPr>
          <w:rFonts w:ascii="PT Astra Serif" w:hAnsi="PT Astra Serif"/>
          <w:sz w:val="28"/>
          <w:szCs w:val="28"/>
          <w:highlight w:val="none"/>
        </w:rPr>
        <w:t xml:space="preserve"> сентября</w:t>
      </w:r>
      <w:r>
        <w:rPr>
          <w:rFonts w:ascii="PT Astra Serif" w:hAnsi="PT Astra Serif"/>
          <w:sz w:val="28"/>
          <w:szCs w:val="28"/>
          <w:highlight w:val="none"/>
        </w:rPr>
        <w:t xml:space="preserve"> 2026 года внести изменения в положение о закупке товаров, работ, услуг в соответствии с настоящим приказом.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851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3</w:t>
      </w:r>
      <w:r>
        <w:rPr>
          <w:rFonts w:ascii="PT Astra Serif" w:hAnsi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/>
          <w:sz w:val="28"/>
          <w:szCs w:val="28"/>
          <w:highlight w:val="none"/>
        </w:rPr>
        <w:t xml:space="preserve"> </w:t>
      </w:r>
      <w:r>
        <w:rPr>
          <w:rFonts w:ascii="PT Astra Serif" w:hAnsi="PT Astra Serif"/>
          <w:sz w:val="28"/>
          <w:szCs w:val="28"/>
          <w:highlight w:val="none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tabs>
          <w:tab w:val="left" w:pos="1134" w:leader="none"/>
        </w:tabs>
        <w:ind w:firstLine="709"/>
        <w:jc w:val="both"/>
        <w:rPr>
          <w:rFonts w:ascii="PT Astra Serif" w:hAnsi="PT Astra Serif"/>
          <w:sz w:val="28"/>
          <w:szCs w:val="28"/>
          <w:highlight w:val="none"/>
        </w:rPr>
      </w:pPr>
      <w:r>
        <w:rPr>
          <w:rFonts w:ascii="PT Astra Serif" w:hAnsi="PT Astra Serif"/>
          <w:sz w:val="28"/>
          <w:szCs w:val="28"/>
          <w:highlight w:val="none"/>
        </w:rPr>
        <w:t xml:space="preserve">4</w:t>
      </w:r>
      <w:r>
        <w:rPr>
          <w:rFonts w:ascii="PT Astra Serif" w:hAnsi="PT Astra Serif"/>
          <w:sz w:val="28"/>
          <w:szCs w:val="28"/>
          <w:highlight w:val="none"/>
        </w:rPr>
        <w:t xml:space="preserve">. </w:t>
      </w:r>
      <w:r>
        <w:rPr>
          <w:rFonts w:ascii="PT Astra Serif" w:hAnsi="PT Astra Serif"/>
          <w:sz w:val="28"/>
          <w:szCs w:val="28"/>
          <w:highlight w:val="none"/>
        </w:rPr>
        <w:t xml:space="preserve">Контроль за исполнение настоящего приказа оставляю за собой.</w:t>
      </w:r>
      <w:r>
        <w:rPr>
          <w:rFonts w:ascii="PT Astra Serif" w:hAnsi="PT Astra Serif"/>
          <w:sz w:val="28"/>
          <w:szCs w:val="28"/>
          <w:highlight w:val="none"/>
        </w:rPr>
      </w:r>
      <w:r>
        <w:rPr>
          <w:rFonts w:ascii="PT Astra Serif" w:hAnsi="PT Astra Serif"/>
          <w:sz w:val="28"/>
          <w:szCs w:val="28"/>
          <w:highlight w:val="none"/>
        </w:rPr>
      </w:r>
    </w:p>
    <w:p>
      <w:pPr>
        <w:pStyle w:val="97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p>
      <w:pPr>
        <w:pStyle w:val="97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rFonts w:ascii="PT Astra Serif" w:hAnsi="PT Astra Serif" w:cs="Times New Roman"/>
          <w:sz w:val="28"/>
          <w:szCs w:val="28"/>
          <w:highlight w:val="none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rPr/>
        <w:tblPrEx/>
        <w:tc>
          <w:tcPr>
            <w:tcW w:w="3325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ind w:left="-108"/>
              <w:jc w:val="both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W w:w="3190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jc w:val="center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  <w:tc>
          <w:tcPr>
            <w:tcW w:w="3374" w:type="dxa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noWrap/>
            <w:textDirection w:val="lrTb"/>
          </w:tcPr>
          <w:p>
            <w:pPr>
              <w:tabs>
                <w:tab w:val="left" w:pos="7088" w:leader="none"/>
              </w:tabs>
              <w:ind w:right="142"/>
              <w:jc w:val="right"/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 Г.В. Гонгина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highlight w:val="none"/>
              </w:rPr>
            </w:r>
          </w:p>
        </w:tc>
      </w:tr>
    </w:tbl>
    <w:p>
      <w:pPr>
        <w:tabs>
          <w:tab w:val="left" w:pos="7088" w:leader="none"/>
        </w:tabs>
        <w:jc w:val="both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7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2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государственного заказа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5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5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ascii="PT Astra Serif" w:hAnsi="PT Astra Serif" w:eastAsia="PT Astra Serif" w:cs="PT Astra Serif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750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5">
    <w:multiLevelType w:val="hybridMultilevel"/>
    <w:lvl w:ilvl="0">
      <w:start w:val="1"/>
      <w:numFmt w:val="none"/>
      <w:isLgl w:val="false"/>
      <w:suff w:val="tab"/>
      <w:lvlText w:val="25"/>
      <w:lvlJc w:val="left"/>
      <w:pPr>
        <w:ind w:left="1406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2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4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6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8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0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2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4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66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none"/>
      <w:isLgl w:val="false"/>
      <w:suff w:val="tab"/>
      <w:lvlText w:val="25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7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4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1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8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6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3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0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771" w:hanging="180"/>
      </w:pPr>
    </w:lvl>
  </w:abstractNum>
  <w:abstractNum w:abstractNumId="17">
    <w:multiLevelType w:val="hybridMultilevel"/>
    <w:lvl w:ilvl="0">
      <w:start w:val="1"/>
      <w:numFmt w:val="none"/>
      <w:isLgl w:val="false"/>
      <w:suff w:val="tab"/>
      <w:lvlText w:val="25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7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4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1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8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6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3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0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771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ascii="PT Astra Serif" w:hAnsi="PT Astra Serif" w:eastAsia="PT Astra Serif" w:cs="PT Astra Serif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6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2">
    <w:name w:val="Endnote Text Char"/>
    <w:link w:val="802"/>
    <w:uiPriority w:val="99"/>
    <w:rPr>
      <w:sz w:val="20"/>
    </w:rPr>
  </w:style>
  <w:style w:type="paragraph" w:styleId="753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4">
    <w:name w:val="Heading 1"/>
    <w:link w:val="806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55">
    <w:name w:val="Heading 2"/>
    <w:link w:val="807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56">
    <w:name w:val="Heading 3"/>
    <w:link w:val="808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57">
    <w:name w:val="Heading 4"/>
    <w:link w:val="80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58">
    <w:name w:val="Heading 5"/>
    <w:link w:val="81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59">
    <w:name w:val="Heading 6"/>
    <w:link w:val="81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60">
    <w:name w:val="Heading 7"/>
    <w:link w:val="81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1">
    <w:name w:val="Heading 8"/>
    <w:link w:val="81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62">
    <w:name w:val="Heading 9"/>
    <w:link w:val="81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63" w:default="1">
    <w:name w:val="Default Paragraph Font"/>
    <w:uiPriority w:val="1"/>
    <w:semiHidden/>
    <w:unhideWhenUsed/>
  </w:style>
  <w:style w:type="table" w:styleId="7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5" w:default="1">
    <w:name w:val="No List"/>
    <w:uiPriority w:val="99"/>
    <w:semiHidden/>
    <w:unhideWhenUsed/>
  </w:style>
  <w:style w:type="character" w:styleId="766" w:customStyle="1">
    <w:name w:val="Heading 1 Char"/>
    <w:basedOn w:val="763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63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63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63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63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63"/>
    <w:uiPriority w:val="10"/>
    <w:rPr>
      <w:sz w:val="48"/>
      <w:szCs w:val="48"/>
    </w:rPr>
  </w:style>
  <w:style w:type="character" w:styleId="776" w:customStyle="1">
    <w:name w:val="Subtitle Char"/>
    <w:basedOn w:val="763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Header Char"/>
    <w:basedOn w:val="763"/>
    <w:uiPriority w:val="99"/>
  </w:style>
  <w:style w:type="character" w:styleId="780" w:customStyle="1">
    <w:name w:val="Footer Char"/>
    <w:basedOn w:val="763"/>
    <w:uiPriority w:val="99"/>
  </w:style>
  <w:style w:type="character" w:styleId="781" w:customStyle="1">
    <w:name w:val="Caption Char"/>
    <w:uiPriority w:val="99"/>
  </w:style>
  <w:style w:type="table" w:styleId="782">
    <w:name w:val="Plain Table 1"/>
    <w:basedOn w:val="76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2"/>
    <w:basedOn w:val="764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>
    <w:name w:val="Plain Table 3"/>
    <w:basedOn w:val="76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5">
    <w:name w:val="Plain Table 4"/>
    <w:basedOn w:val="76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Plain Table 5"/>
    <w:basedOn w:val="76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87">
    <w:name w:val="Grid Table 1 Light"/>
    <w:basedOn w:val="76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2"/>
    <w:basedOn w:val="76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89">
    <w:name w:val="Grid Table 3"/>
    <w:basedOn w:val="76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</w:style>
  <w:style w:type="table" w:styleId="790">
    <w:name w:val="Grid Table 4"/>
    <w:basedOn w:val="76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>
    <w:name w:val="Grid Table 5 Dark"/>
    <w:basedOn w:val="76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auto"/>
      </w:tcPr>
    </w:tblStylePr>
  </w:style>
  <w:style w:type="table" w:styleId="792">
    <w:name w:val="Grid Table 6 Colorful"/>
    <w:basedOn w:val="76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>
    <w:name w:val="Grid Table 7 Colorful"/>
    <w:basedOn w:val="76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table" w:styleId="794">
    <w:name w:val="List Table 1 Light"/>
    <w:basedOn w:val="76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basedOn w:val="76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76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76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basedOn w:val="76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auto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auto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auto"/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>
    <w:name w:val="List Table 6 Colorful"/>
    <w:basedOn w:val="76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>
    <w:name w:val="List Table 7 Colorful"/>
    <w:basedOn w:val="76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auto"/>
      </w:tcPr>
    </w:tblStylePr>
  </w:style>
  <w:style w:type="character" w:styleId="801" w:customStyle="1">
    <w:name w:val="Footnote Text Char"/>
    <w:uiPriority w:val="99"/>
    <w:rPr>
      <w:sz w:val="18"/>
    </w:rPr>
  </w:style>
  <w:style w:type="paragraph" w:styleId="802">
    <w:name w:val="endnote text"/>
    <w:basedOn w:val="753"/>
    <w:link w:val="803"/>
    <w:uiPriority w:val="99"/>
    <w:semiHidden/>
    <w:unhideWhenUsed/>
    <w:rPr>
      <w:sz w:val="20"/>
    </w:rPr>
  </w:style>
  <w:style w:type="character" w:styleId="803" w:customStyle="1">
    <w:name w:val="Текст концевой сноски Знак"/>
    <w:link w:val="802"/>
    <w:uiPriority w:val="99"/>
    <w:rPr>
      <w:sz w:val="20"/>
    </w:rPr>
  </w:style>
  <w:style w:type="character" w:styleId="804">
    <w:name w:val="endnote reference"/>
    <w:basedOn w:val="763"/>
    <w:uiPriority w:val="99"/>
    <w:semiHidden/>
    <w:unhideWhenUsed/>
    <w:rPr>
      <w:vertAlign w:val="superscript"/>
    </w:rPr>
  </w:style>
  <w:style w:type="paragraph" w:styleId="805">
    <w:name w:val="table of figures"/>
    <w:basedOn w:val="753"/>
    <w:next w:val="753"/>
    <w:uiPriority w:val="99"/>
    <w:unhideWhenUsed/>
  </w:style>
  <w:style w:type="character" w:styleId="806" w:customStyle="1">
    <w:name w:val="Заголовок 1 Знак"/>
    <w:link w:val="754"/>
    <w:uiPriority w:val="9"/>
    <w:rPr>
      <w:rFonts w:ascii="Arial" w:hAnsi="Arial" w:eastAsia="Arial"/>
      <w:sz w:val="40"/>
      <w:szCs w:val="40"/>
      <w:lang w:bidi="ar-SA"/>
    </w:rPr>
  </w:style>
  <w:style w:type="character" w:styleId="807" w:customStyle="1">
    <w:name w:val="Заголовок 2 Знак"/>
    <w:link w:val="755"/>
    <w:uiPriority w:val="9"/>
    <w:rPr>
      <w:rFonts w:ascii="Arial" w:hAnsi="Arial" w:eastAsia="Arial"/>
      <w:sz w:val="34"/>
      <w:lang w:bidi="ar-SA"/>
    </w:rPr>
  </w:style>
  <w:style w:type="character" w:styleId="808" w:customStyle="1">
    <w:name w:val="Заголовок 3 Знак"/>
    <w:link w:val="756"/>
    <w:uiPriority w:val="9"/>
    <w:rPr>
      <w:rFonts w:ascii="Arial" w:hAnsi="Arial" w:eastAsia="Arial"/>
      <w:sz w:val="30"/>
      <w:szCs w:val="30"/>
      <w:lang w:bidi="ar-SA"/>
    </w:rPr>
  </w:style>
  <w:style w:type="character" w:styleId="809" w:customStyle="1">
    <w:name w:val="Заголовок 4 Знак"/>
    <w:link w:val="757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10" w:customStyle="1">
    <w:name w:val="Заголовок 5 Знак"/>
    <w:link w:val="758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11" w:customStyle="1">
    <w:name w:val="Заголовок 6 Знак"/>
    <w:link w:val="759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12" w:customStyle="1">
    <w:name w:val="Заголовок 7 Знак"/>
    <w:link w:val="760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3" w:customStyle="1">
    <w:name w:val="Заголовок 8 Знак"/>
    <w:link w:val="761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14" w:customStyle="1">
    <w:name w:val="Заголовок 9 Знак"/>
    <w:link w:val="762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15">
    <w:name w:val="List Paragraph"/>
    <w:uiPriority w:val="34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/>
      <w:contextualSpacing/>
    </w:pPr>
    <w:rPr>
      <w:sz w:val="22"/>
      <w:szCs w:val="22"/>
      <w:lang w:eastAsia="en-US" w:bidi="en-US"/>
    </w:rPr>
  </w:style>
  <w:style w:type="paragraph" w:styleId="816">
    <w:name w:val="No Spacing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17">
    <w:name w:val="Title"/>
    <w:link w:val="818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818" w:customStyle="1">
    <w:name w:val="Название Знак"/>
    <w:link w:val="817"/>
    <w:uiPriority w:val="10"/>
    <w:rPr>
      <w:sz w:val="48"/>
      <w:szCs w:val="48"/>
      <w:lang w:bidi="ar-SA"/>
    </w:rPr>
  </w:style>
  <w:style w:type="paragraph" w:styleId="819">
    <w:name w:val="Subtitle"/>
    <w:link w:val="820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820" w:customStyle="1">
    <w:name w:val="Подзаголовок Знак"/>
    <w:link w:val="819"/>
    <w:uiPriority w:val="11"/>
    <w:rPr>
      <w:sz w:val="24"/>
      <w:szCs w:val="24"/>
      <w:lang w:bidi="ar-SA"/>
    </w:rPr>
  </w:style>
  <w:style w:type="paragraph" w:styleId="821">
    <w:name w:val="Quote"/>
    <w:link w:val="822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822" w:customStyle="1">
    <w:name w:val="Цитата 2 Знак"/>
    <w:link w:val="821"/>
    <w:uiPriority w:val="29"/>
    <w:rPr>
      <w:i/>
      <w:lang w:val="ru-RU" w:eastAsia="ru-RU" w:bidi="ar-SA"/>
    </w:rPr>
  </w:style>
  <w:style w:type="paragraph" w:styleId="823">
    <w:name w:val="Intense Quote"/>
    <w:link w:val="82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824" w:customStyle="1">
    <w:name w:val="Выделенная цитата Знак"/>
    <w:link w:val="823"/>
    <w:uiPriority w:val="30"/>
    <w:rPr>
      <w:i/>
      <w:shd w:val="clear" w:color="auto" w:fill="f2f2f2"/>
      <w:lang w:val="ru-RU" w:eastAsia="ru-RU" w:bidi="ar-SA"/>
    </w:rPr>
  </w:style>
  <w:style w:type="paragraph" w:styleId="825">
    <w:name w:val="Header"/>
    <w:basedOn w:val="753"/>
    <w:link w:val="826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826" w:customStyle="1">
    <w:name w:val="Верхний колонтитул Знак"/>
    <w:link w:val="825"/>
    <w:uiPriority w:val="99"/>
  </w:style>
  <w:style w:type="paragraph" w:styleId="827">
    <w:name w:val="Footer"/>
    <w:basedOn w:val="753"/>
    <w:link w:val="828"/>
    <w:uiPriority w:val="99"/>
    <w:pPr>
      <w:tabs>
        <w:tab w:val="center" w:pos="4153" w:leader="none"/>
        <w:tab w:val="right" w:pos="8306" w:leader="none"/>
      </w:tabs>
    </w:pPr>
  </w:style>
  <w:style w:type="character" w:styleId="828" w:customStyle="1">
    <w:name w:val="Нижний колонтитул Знак"/>
    <w:link w:val="827"/>
    <w:uiPriority w:val="99"/>
  </w:style>
  <w:style w:type="table" w:styleId="829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0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1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2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3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55">
    <w:name w:val="Hyperlink"/>
    <w:uiPriority w:val="99"/>
    <w:unhideWhenUsed/>
    <w:rPr>
      <w:color w:val="0000ff"/>
      <w:u w:val="single"/>
    </w:rPr>
  </w:style>
  <w:style w:type="paragraph" w:styleId="956">
    <w:name w:val="footnote text"/>
    <w:link w:val="957"/>
    <w:uiPriority w:val="9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57" w:customStyle="1">
    <w:name w:val="Текст сноски Знак"/>
    <w:link w:val="956"/>
    <w:uiPriority w:val="99"/>
    <w:rPr>
      <w:sz w:val="18"/>
      <w:lang w:bidi="ar-SA"/>
    </w:rPr>
  </w:style>
  <w:style w:type="character" w:styleId="958">
    <w:name w:val="footnote reference"/>
    <w:uiPriority w:val="99"/>
    <w:unhideWhenUsed/>
    <w:rPr>
      <w:vertAlign w:val="superscript"/>
    </w:rPr>
  </w:style>
  <w:style w:type="paragraph" w:styleId="959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60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61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62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63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64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65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66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67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68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9">
    <w:name w:val="Body Text"/>
    <w:basedOn w:val="753"/>
    <w:next w:val="753"/>
    <w:pPr>
      <w:jc w:val="both"/>
    </w:pPr>
  </w:style>
  <w:style w:type="character" w:styleId="970">
    <w:name w:val="page number"/>
    <w:basedOn w:val="763"/>
  </w:style>
  <w:style w:type="paragraph" w:styleId="971">
    <w:name w:val="Caption"/>
    <w:basedOn w:val="753"/>
    <w:next w:val="753"/>
    <w:link w:val="781"/>
    <w:pPr>
      <w:jc w:val="center"/>
    </w:pPr>
    <w:rPr>
      <w:b/>
      <w:sz w:val="28"/>
    </w:rPr>
  </w:style>
  <w:style w:type="paragraph" w:styleId="972">
    <w:name w:val="Body Text 2"/>
    <w:basedOn w:val="753"/>
    <w:pPr>
      <w:spacing w:before="120"/>
      <w:ind w:right="5102"/>
      <w:jc w:val="center"/>
    </w:pPr>
  </w:style>
  <w:style w:type="paragraph" w:styleId="973" w:customStyle="1">
    <w:name w:val="Обращение"/>
    <w:basedOn w:val="753"/>
    <w:next w:val="753"/>
    <w:pPr>
      <w:spacing w:before="240" w:after="120"/>
      <w:jc w:val="center"/>
    </w:pPr>
    <w:rPr>
      <w:b/>
    </w:rPr>
  </w:style>
  <w:style w:type="paragraph" w:styleId="974" w:customStyle="1">
    <w:name w:val="Адресные реквизиты"/>
    <w:basedOn w:val="969"/>
    <w:next w:val="969"/>
    <w:pPr>
      <w:jc w:val="left"/>
    </w:pPr>
    <w:rPr>
      <w:sz w:val="16"/>
    </w:rPr>
  </w:style>
  <w:style w:type="paragraph" w:styleId="975" w:customStyle="1">
    <w:name w:val="Адресат"/>
    <w:basedOn w:val="753"/>
    <w:pPr>
      <w:spacing w:before="120"/>
    </w:pPr>
    <w:rPr>
      <w:b/>
    </w:rPr>
  </w:style>
  <w:style w:type="paragraph" w:styleId="976">
    <w:name w:val="Body Text 3"/>
    <w:basedOn w:val="753"/>
    <w:pPr>
      <w:tabs>
        <w:tab w:val="left" w:pos="7371" w:leader="none"/>
      </w:tabs>
      <w:spacing w:before="120"/>
    </w:pPr>
    <w:rPr>
      <w:sz w:val="28"/>
    </w:rPr>
  </w:style>
  <w:style w:type="paragraph" w:styleId="977">
    <w:name w:val="Balloon Text"/>
    <w:basedOn w:val="753"/>
    <w:link w:val="978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78" w:customStyle="1">
    <w:name w:val="Текст выноски Знак"/>
    <w:link w:val="977"/>
    <w:uiPriority w:val="99"/>
    <w:semiHidden/>
    <w:rPr>
      <w:rFonts w:ascii="Tahoma" w:hAnsi="Tahoma" w:cs="Tahoma"/>
      <w:sz w:val="16"/>
      <w:szCs w:val="16"/>
    </w:rPr>
  </w:style>
  <w:style w:type="paragraph" w:styleId="979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80">
    <w:name w:val="Body Text Indent"/>
    <w:basedOn w:val="753"/>
    <w:link w:val="981"/>
    <w:uiPriority w:val="99"/>
    <w:semiHidden/>
    <w:unhideWhenUsed/>
    <w:pPr>
      <w:spacing w:after="120"/>
      <w:ind w:left="283"/>
    </w:pPr>
  </w:style>
  <w:style w:type="character" w:styleId="981" w:customStyle="1">
    <w:name w:val="Основной текст с отступом Знак"/>
    <w:link w:val="980"/>
    <w:uiPriority w:val="99"/>
    <w:semiHidden/>
    <w:rPr>
      <w:sz w:val="22"/>
      <w:szCs w:val="22"/>
      <w:lang w:eastAsia="en-US" w:bidi="en-US"/>
    </w:rPr>
  </w:style>
  <w:style w:type="paragraph" w:styleId="982">
    <w:name w:val="Normal (Web)"/>
    <w:basedOn w:val="753"/>
    <w:uiPriority w:val="99"/>
    <w:semiHidden/>
    <w:unhideWhenUsed/>
    <w:rPr>
      <w:sz w:val="24"/>
      <w:szCs w:val="24"/>
    </w:rPr>
  </w:style>
  <w:style w:type="character" w:styleId="983">
    <w:name w:val="annotation reference"/>
    <w:basedOn w:val="763"/>
    <w:uiPriority w:val="99"/>
    <w:semiHidden/>
    <w:unhideWhenUsed/>
    <w:rPr>
      <w:sz w:val="16"/>
      <w:szCs w:val="16"/>
    </w:rPr>
  </w:style>
  <w:style w:type="paragraph" w:styleId="984">
    <w:name w:val="annotation text"/>
    <w:basedOn w:val="753"/>
    <w:link w:val="985"/>
    <w:uiPriority w:val="99"/>
    <w:semiHidden/>
    <w:unhideWhenUsed/>
    <w:rPr>
      <w:sz w:val="20"/>
      <w:szCs w:val="20"/>
    </w:rPr>
  </w:style>
  <w:style w:type="character" w:styleId="985" w:customStyle="1">
    <w:name w:val="Текст примечания Знак"/>
    <w:basedOn w:val="763"/>
    <w:link w:val="984"/>
    <w:uiPriority w:val="99"/>
    <w:semiHidden/>
    <w:rPr>
      <w:lang w:eastAsia="en-US" w:bidi="en-US"/>
    </w:rPr>
  </w:style>
  <w:style w:type="paragraph" w:styleId="986">
    <w:name w:val="annotation subject"/>
    <w:basedOn w:val="984"/>
    <w:next w:val="984"/>
    <w:link w:val="987"/>
    <w:uiPriority w:val="99"/>
    <w:semiHidden/>
    <w:unhideWhenUsed/>
    <w:rPr>
      <w:b/>
      <w:bCs/>
    </w:rPr>
  </w:style>
  <w:style w:type="character" w:styleId="987" w:customStyle="1">
    <w:name w:val="Тема примечания Знак"/>
    <w:basedOn w:val="985"/>
    <w:link w:val="986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0F4F6B3-BE57-4AC7-B7A2-2DF3552E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istomina@cgz.tomsk.ru</cp:lastModifiedBy>
  <cp:revision>10</cp:revision>
  <dcterms:created xsi:type="dcterms:W3CDTF">2025-03-21T07:14:00Z</dcterms:created>
  <dcterms:modified xsi:type="dcterms:W3CDTF">2026-06-16T03:52:35Z</dcterms:modified>
</cp:coreProperties>
</file>